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«МАРК СТРОЙ»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уд. Маяковского 1\1,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, являясь директором ООО «МАРК СТРОЙ», по месту нахождения юридического лица по адресу: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уд. Маяковского 1\1, до 24.00 часов 25 апреля 2024 года не исполнил установленную п.7 ст. 431 Налогового кодекса РФ обязанность по представлению расчета по страховым взносам за 3 месяца 2024 года, чем совершила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№86172505</w:t>
      </w:r>
      <w:r>
        <w:rPr>
          <w:rFonts w:ascii="Times New Roman" w:eastAsia="Times New Roman" w:hAnsi="Times New Roman" w:cs="Times New Roman"/>
        </w:rPr>
        <w:t>500100400002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.03.2025 года; реестрами внутренних почтовых отправлений, выпиской из ЕГРЮЛ в отношении юридического лица ООО «МАРК СТРОЙ»,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за 3 месяца 2024 года долж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 был быть представлен ООО «</w:t>
      </w:r>
      <w:r>
        <w:rPr>
          <w:rFonts w:ascii="Times New Roman" w:eastAsia="Times New Roman" w:hAnsi="Times New Roman" w:cs="Times New Roman"/>
        </w:rPr>
        <w:t>МАРК СТРОЙ</w:t>
      </w:r>
      <w:r>
        <w:rPr>
          <w:rFonts w:ascii="Times New Roman" w:eastAsia="Times New Roman" w:hAnsi="Times New Roman" w:cs="Times New Roman"/>
        </w:rPr>
        <w:t xml:space="preserve">» в налоговый орган в срок не позднее 24.00 часов 25.04.2024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«МАРК СТРОЙ» предоставить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за 3 месяца 2024 года, </w:t>
      </w: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Базутов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Базутову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«МАРК СТРОЙ» </w:t>
      </w:r>
      <w:r>
        <w:rPr>
          <w:rFonts w:ascii="Times New Roman" w:eastAsia="Times New Roman" w:hAnsi="Times New Roman" w:cs="Times New Roman"/>
        </w:rPr>
        <w:t>Базутова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0412365400135006802515165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2">
    <w:name w:val="cat-UserDefined grp-3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